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32F807">
      <w:pPr>
        <w:pStyle w:val="2"/>
        <w:spacing w:line="560" w:lineRule="exact"/>
        <w:jc w:val="center"/>
        <w:rPr>
          <w:rFonts w:ascii="方正小标宋简体" w:hAnsi="方正小标宋简体" w:eastAsia="方正小标宋简体" w:cs="方正小标宋简体"/>
          <w:color w:val="000000" w:themeColor="text1"/>
          <w:sz w:val="36"/>
          <w:szCs w:val="36"/>
          <w14:textFill>
            <w14:solidFill>
              <w14:schemeClr w14:val="tx1"/>
            </w14:solidFill>
          </w14:textFill>
        </w:rPr>
      </w:pPr>
      <w:r>
        <w:rPr>
          <w:rFonts w:ascii="方正小标宋简体" w:hAnsi="方正小标宋简体" w:eastAsia="方正小标宋简体" w:cs="方正小标宋简体"/>
          <w:color w:val="000000" w:themeColor="text1"/>
          <w:sz w:val="36"/>
          <w:szCs w:val="36"/>
          <w14:textFill>
            <w14:solidFill>
              <w14:schemeClr w14:val="tx1"/>
            </w14:solidFill>
          </w14:textFill>
        </w:rPr>
        <w:t>上海市党的建设研究会202</w:t>
      </w: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5</w:t>
      </w:r>
      <w:r>
        <w:rPr>
          <w:rFonts w:ascii="方正小标宋简体" w:hAnsi="方正小标宋简体" w:eastAsia="方正小标宋简体" w:cs="方正小标宋简体"/>
          <w:color w:val="000000" w:themeColor="text1"/>
          <w:sz w:val="36"/>
          <w:szCs w:val="36"/>
          <w14:textFill>
            <w14:solidFill>
              <w14:schemeClr w14:val="tx1"/>
            </w14:solidFill>
          </w14:textFill>
        </w:rPr>
        <w:t>年度课题</w:t>
      </w:r>
    </w:p>
    <w:p w14:paraId="66C47EA6">
      <w:pPr>
        <w:pStyle w:val="2"/>
        <w:spacing w:line="560" w:lineRule="exact"/>
        <w:jc w:val="center"/>
        <w:rPr>
          <w:rFonts w:ascii="方正小标宋简体" w:hAnsi="方正小标宋简体" w:eastAsia="方正小标宋简体" w:cs="方正小标宋简体"/>
          <w:color w:val="000000" w:themeColor="text1"/>
          <w:sz w:val="36"/>
          <w:szCs w:val="36"/>
          <w14:textFill>
            <w14:solidFill>
              <w14:schemeClr w14:val="tx1"/>
            </w14:solidFill>
          </w14:textFill>
        </w:rPr>
      </w:pPr>
      <w:r>
        <w:rPr>
          <w:rFonts w:hint="eastAsia" w:ascii="方正小标宋简体" w:hAnsi="方正小标宋简体" w:eastAsia="方正小标宋简体" w:cs="方正小标宋简体"/>
          <w:color w:val="000000" w:themeColor="text1"/>
          <w:sz w:val="36"/>
          <w:szCs w:val="36"/>
          <w14:textFill>
            <w14:solidFill>
              <w14:schemeClr w14:val="tx1"/>
            </w14:solidFill>
          </w14:textFill>
        </w:rPr>
        <w:t>参考选题</w:t>
      </w:r>
    </w:p>
    <w:p w14:paraId="6A481E6D">
      <w:pPr>
        <w:adjustRightInd w:val="0"/>
        <w:snapToGrid w:val="0"/>
        <w:spacing w:line="560" w:lineRule="exact"/>
        <w:ind w:firstLine="640" w:firstLineChars="200"/>
        <w:rPr>
          <w:rFonts w:ascii="黑体" w:hAnsi="黑体" w:eastAsia="黑体"/>
          <w:color w:val="000000"/>
          <w:sz w:val="32"/>
          <w:szCs w:val="32"/>
        </w:rPr>
      </w:pPr>
    </w:p>
    <w:p w14:paraId="3EC4CE46">
      <w:pPr>
        <w:adjustRightInd w:val="0"/>
        <w:snapToGrid w:val="0"/>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一、</w:t>
      </w:r>
      <w:r>
        <w:rPr>
          <w:rFonts w:ascii="黑体" w:hAnsi="黑体" w:eastAsia="黑体"/>
          <w:color w:val="000000"/>
          <w:sz w:val="32"/>
          <w:szCs w:val="32"/>
        </w:rPr>
        <w:t>重点课题</w:t>
      </w:r>
    </w:p>
    <w:p w14:paraId="6693EB5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1.学习贯彻习近平总书记关于党的建设的重要思想研究</w:t>
      </w:r>
    </w:p>
    <w:p w14:paraId="104D41A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2.健全精准发力、标本兼治的监管体系研究</w:t>
      </w:r>
    </w:p>
    <w:p w14:paraId="621BD054">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3.着力建设习近平文化思想最佳实践地研究</w:t>
      </w:r>
    </w:p>
    <w:p w14:paraId="73875803">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4.党的二十大以来上海坚持用改革精神和严的标准管党治党的实践与探索</w:t>
      </w:r>
    </w:p>
    <w:p w14:paraId="6666D526">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5.用好光荣之城红色资源，提升支部组织生活质量</w:t>
      </w:r>
    </w:p>
    <w:p w14:paraId="2534D28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6.加强党员队伍建设研究</w:t>
      </w:r>
    </w:p>
    <w:p w14:paraId="39F53947">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7.加强党建引领物业治理研究</w:t>
      </w:r>
    </w:p>
    <w:p w14:paraId="67ABD3A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8.党建引领网格治理实效性研究</w:t>
      </w:r>
    </w:p>
    <w:p w14:paraId="779ABCF3">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9.新兴领域党的建设工作体系研究</w:t>
      </w:r>
    </w:p>
    <w:p w14:paraId="0AFEE2A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10.新兴领域党建全覆盖理论研究</w:t>
      </w:r>
    </w:p>
    <w:p w14:paraId="0162F2F4">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11.超大城市城乡基层队伍一体化建设路径研究</w:t>
      </w:r>
    </w:p>
    <w:p w14:paraId="0BA07FE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12.增强党建引领乡村振兴内生动力研究</w:t>
      </w:r>
    </w:p>
    <w:p w14:paraId="5B18F26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13.着力提升机关党建服务、保障和促进中心工作的水平研究</w:t>
      </w:r>
    </w:p>
    <w:p w14:paraId="29667E18">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14.破解国有企业全面从严治党责任层层衰减问题研究</w:t>
      </w:r>
    </w:p>
    <w:p w14:paraId="7F2ED3A6">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15.国有企业党委前置研究讨论与董事会、经理层决策运转衔接机制研究</w:t>
      </w:r>
    </w:p>
    <w:p w14:paraId="67B5878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16.提升高校党委领导下的校长负责制运行效能研究</w:t>
      </w:r>
    </w:p>
    <w:p w14:paraId="3D41561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17.加强新型研发机构党建工作研究</w:t>
      </w:r>
    </w:p>
    <w:p w14:paraId="705E0E3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18.加强产业链、供应链、创新链党建研究</w:t>
      </w:r>
    </w:p>
    <w:p w14:paraId="1A252A38">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19.推动全市党建服务工作转型研究</w:t>
      </w:r>
    </w:p>
    <w:p w14:paraId="0BB7A494">
      <w:pPr>
        <w:pStyle w:val="5"/>
        <w:widowControl w:val="0"/>
        <w:shd w:val="clear" w:color="auto" w:fill="FFFFFF"/>
        <w:adjustRightInd w:val="0"/>
        <w:snapToGrid w:val="0"/>
        <w:spacing w:before="0" w:beforeAutospacing="0" w:after="0" w:afterAutospacing="0" w:line="560" w:lineRule="exact"/>
        <w:ind w:firstLine="555"/>
        <w:jc w:val="both"/>
        <w:rPr>
          <w:rFonts w:hint="eastAsia"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20.加强中共党史党建学学科建设研究</w:t>
      </w:r>
    </w:p>
    <w:p w14:paraId="5478ADD9">
      <w:pPr>
        <w:pStyle w:val="5"/>
        <w:widowControl w:val="0"/>
        <w:shd w:val="clear" w:color="auto" w:fill="FFFFFF"/>
        <w:adjustRightInd w:val="0"/>
        <w:snapToGrid w:val="0"/>
        <w:spacing w:before="0" w:beforeAutospacing="0" w:after="0" w:afterAutospacing="0" w:line="560" w:lineRule="exact"/>
        <w:ind w:firstLine="555"/>
        <w:jc w:val="both"/>
        <w:rPr>
          <w:rFonts w:hint="eastAsia" w:ascii="Times New Roman" w:hAnsi="Times New Roman" w:eastAsia="仿宋_GB2312" w:cs="Tahoma"/>
          <w:color w:val="000000"/>
          <w:sz w:val="32"/>
          <w:szCs w:val="32"/>
        </w:rPr>
      </w:pPr>
      <w:bookmarkStart w:id="0" w:name="_GoBack"/>
      <w:bookmarkEnd w:id="0"/>
    </w:p>
    <w:p w14:paraId="046A539A">
      <w:pPr>
        <w:adjustRightInd w:val="0"/>
        <w:snapToGrid w:val="0"/>
        <w:spacing w:line="560" w:lineRule="exact"/>
        <w:ind w:firstLine="640" w:firstLineChars="200"/>
        <w:rPr>
          <w:rFonts w:ascii="黑体" w:hAnsi="黑体" w:eastAsia="黑体"/>
          <w:color w:val="000000"/>
          <w:sz w:val="32"/>
          <w:szCs w:val="32"/>
        </w:rPr>
      </w:pPr>
      <w:r>
        <w:rPr>
          <w:rFonts w:hint="eastAsia" w:ascii="黑体" w:hAnsi="黑体" w:eastAsia="黑体"/>
          <w:color w:val="000000"/>
          <w:sz w:val="32"/>
          <w:szCs w:val="32"/>
        </w:rPr>
        <w:t>二、</w:t>
      </w:r>
      <w:r>
        <w:rPr>
          <w:rFonts w:ascii="黑体" w:hAnsi="黑体" w:eastAsia="黑体"/>
          <w:color w:val="000000"/>
          <w:sz w:val="32"/>
          <w:szCs w:val="32"/>
        </w:rPr>
        <w:t>自选课题</w:t>
      </w:r>
    </w:p>
    <w:p w14:paraId="3199AAC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1.深入学习贯彻习近平总书记关于党的自我革命的重要思想研究</w:t>
      </w:r>
    </w:p>
    <w:p w14:paraId="388DA6B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2.深入贯彻中央八项规定精神学习教育研究</w:t>
      </w:r>
    </w:p>
    <w:p w14:paraId="01982AE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3.健全全面从严治党体系研究</w:t>
      </w:r>
    </w:p>
    <w:p w14:paraId="65B3F7C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4.健全以学铸魂、以学增智、以学正风、以学促干长效机制研究</w:t>
      </w:r>
    </w:p>
    <w:p w14:paraId="0AAC827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5.深化党的建设制度改革研究</w:t>
      </w:r>
    </w:p>
    <w:p w14:paraId="2B14300F">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6.严明政治纪律和政治规矩研究</w:t>
      </w:r>
    </w:p>
    <w:p w14:paraId="3FFB9456">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7.落实意识形态工作责任制研究</w:t>
      </w:r>
    </w:p>
    <w:p w14:paraId="4E13340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8.加强党对社会工作的集中统一领导研究</w:t>
      </w:r>
    </w:p>
    <w:p w14:paraId="3ED7824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9.健全防治形式主义、官僚主义制度机制研究</w:t>
      </w:r>
    </w:p>
    <w:p w14:paraId="2115E6F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10.健全作风建设常态化长效化制度机制研究</w:t>
      </w:r>
    </w:p>
    <w:p w14:paraId="6BE526D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11.健全巡视巡察工作体制机制研究</w:t>
      </w:r>
    </w:p>
    <w:p w14:paraId="78BC101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12.坚持一体推进不敢腐、不能腐、不想腐研究</w:t>
      </w:r>
    </w:p>
    <w:p w14:paraId="4E7A9C4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13.开展党委（党组）书记抓基层党建述职评议考核工作研究</w:t>
      </w:r>
    </w:p>
    <w:p w14:paraId="3D191CF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14.全面推进党建引领网格治理研究</w:t>
      </w:r>
    </w:p>
    <w:p w14:paraId="570BA92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15.着力破解党建引领小区治理难题研究</w:t>
      </w:r>
    </w:p>
    <w:p w14:paraId="18386DD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16.持续推进为基层减负增能研究</w:t>
      </w:r>
    </w:p>
    <w:p w14:paraId="71CE904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17.加强全过程人民民主工作研究</w:t>
      </w:r>
    </w:p>
    <w:p w14:paraId="35830223">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18.始终保持党同人民群众血肉联系研究</w:t>
      </w:r>
    </w:p>
    <w:p w14:paraId="27D9EFC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19.破解基层治理“小马拉大车”问题研究</w:t>
      </w:r>
    </w:p>
    <w:p w14:paraId="1B4DB28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20.加强大型居住社区（基本管理单元）党建工作研究</w:t>
      </w:r>
    </w:p>
    <w:p w14:paraId="0EC66D7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21.加强社区工作者队伍建设研究</w:t>
      </w:r>
    </w:p>
    <w:p w14:paraId="723F1BB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22.健全在职党员到社区报到机制研究</w:t>
      </w:r>
    </w:p>
    <w:p w14:paraId="2408A3A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23.深入推进抓党建促乡村振兴研究</w:t>
      </w:r>
    </w:p>
    <w:p w14:paraId="0397C42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24.党建引领农村新型集体经济发展研究</w:t>
      </w:r>
    </w:p>
    <w:p w14:paraId="3C4BC01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25.加强村党组织带头人队伍建设研究</w:t>
      </w:r>
    </w:p>
    <w:p w14:paraId="70EE20CF">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26.全面提高机关党建质量研究</w:t>
      </w:r>
    </w:p>
    <w:p w14:paraId="3027F3F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27.深入推进模范机关创建研究</w:t>
      </w:r>
    </w:p>
    <w:p w14:paraId="5535C7EF">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28.提高学校、医院党委领导下的校（院）长负责制运行效能研究</w:t>
      </w:r>
    </w:p>
    <w:p w14:paraId="4D82F6E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29.建立学校、医院党组织书记、校（院）长定期沟通机制研究</w:t>
      </w:r>
    </w:p>
    <w:p w14:paraId="62289D8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30.强化高校院系党组织政治功能和组织功能研究</w:t>
      </w:r>
    </w:p>
    <w:p w14:paraId="32CB8F98">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31.加强高校教师党支部书记、公立医院业务科室党支部书记“双带头人”队伍建设研究</w:t>
      </w:r>
    </w:p>
    <w:p w14:paraId="74FA541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32.建立健全中小学校党组织统一领导、党政分工合作、协调运行的工作机制研究</w:t>
      </w:r>
    </w:p>
    <w:p w14:paraId="7BEFA9F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33.加强民办学校党建工作研究</w:t>
      </w:r>
    </w:p>
    <w:p w14:paraId="15574B0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34.建立党支部参与公立医院业务科室重大问题决策的制度机制研究</w:t>
      </w:r>
    </w:p>
    <w:p w14:paraId="1A1171FC">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35.建立健全公立医院党建质量评价体系研究</w:t>
      </w:r>
    </w:p>
    <w:p w14:paraId="64B2ABE7">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36.加强民营医院党建工作研究</w:t>
      </w:r>
    </w:p>
    <w:p w14:paraId="540DBA4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37.推进科研院所党组织领导的行政领导负责制试点工作研究</w:t>
      </w:r>
    </w:p>
    <w:p w14:paraId="230CD32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38.加强国家实验室党建工作研究</w:t>
      </w:r>
    </w:p>
    <w:p w14:paraId="3097074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39.加强混合所有制企业党建工作研究</w:t>
      </w:r>
    </w:p>
    <w:p w14:paraId="18690C6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40.健全完善金融系统党的建设体制机制研究</w:t>
      </w:r>
    </w:p>
    <w:p w14:paraId="0536AE2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41.推进国有企业在完善公司治理中加强党的领导研究</w:t>
      </w:r>
    </w:p>
    <w:p w14:paraId="7FEAF34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42.国有企业职业经理人市场化改革研究</w:t>
      </w:r>
    </w:p>
    <w:p w14:paraId="7D236336">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43.加强驻外机构党建工作研究</w:t>
      </w:r>
    </w:p>
    <w:p w14:paraId="35EE7B8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44.加强行业协会、学会、商会党建工作研究</w:t>
      </w:r>
    </w:p>
    <w:p w14:paraId="761AF8EF">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45.加强新业态、新就业群体党建工作研究</w:t>
      </w:r>
    </w:p>
    <w:p w14:paraId="5FA0D9D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46.加强非公有制经济组织党建工作研究</w:t>
      </w:r>
    </w:p>
    <w:p w14:paraId="28704A33">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47.加强商务楼宇、园区、商圈市场党建工作研究</w:t>
      </w:r>
    </w:p>
    <w:p w14:paraId="70E4913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48.加强自贸区、新片区、虹桥国际中央商务区、长三角一体化示范区等功能区党建工作研究</w:t>
      </w:r>
    </w:p>
    <w:p w14:paraId="49F01C2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49.长三角城市群党建工作研究</w:t>
      </w:r>
    </w:p>
    <w:p w14:paraId="6C6631D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50.加强互联网企业党建工作研究</w:t>
      </w:r>
    </w:p>
    <w:p w14:paraId="20CA8708">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51.加强网络主播群体党的建设研究</w:t>
      </w:r>
    </w:p>
    <w:p w14:paraId="4095896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52.健全新时代党员教育培训体系研究</w:t>
      </w:r>
    </w:p>
    <w:p w14:paraId="4A9CA9C9">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53.加强和改进流动党员管理研究</w:t>
      </w:r>
    </w:p>
    <w:p w14:paraId="59657E2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54.严肃稳妥处置不合格党员研究</w:t>
      </w:r>
    </w:p>
    <w:p w14:paraId="01D5DD3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55.健全党员在岗离岗、网下网上、平时应急的作用发挥机制研究</w:t>
      </w:r>
    </w:p>
    <w:p w14:paraId="104C5D38">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56.加强发展党员工作研究</w:t>
      </w:r>
    </w:p>
    <w:p w14:paraId="1978D96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57.加强党支部建设工作研究</w:t>
      </w:r>
    </w:p>
    <w:p w14:paraId="166B8AA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58.推动各级干部树立和践行正确政绩观研究</w:t>
      </w:r>
    </w:p>
    <w:p w14:paraId="1C8AD641">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59.加强领导班子特别是“一把手”监督研究</w:t>
      </w:r>
    </w:p>
    <w:p w14:paraId="05AE9B4B">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60.推动领导干部能上能下常态化研究</w:t>
      </w:r>
    </w:p>
    <w:p w14:paraId="7280C8B0">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61.健全有效防范和纠治政绩观偏差工作机制研究</w:t>
      </w:r>
    </w:p>
    <w:p w14:paraId="6CB488E4">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62.加强对干部全方位管理和经常性监督研究</w:t>
      </w:r>
    </w:p>
    <w:p w14:paraId="29E5932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63.健全培养选拔优秀年轻干部常态化工作机制研究</w:t>
      </w:r>
    </w:p>
    <w:p w14:paraId="5CCACC61">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64.构建干部担当作为的正向激励机制研究</w:t>
      </w:r>
    </w:p>
    <w:p w14:paraId="1EA60195">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65.深化高水平人才高地建设研究</w:t>
      </w:r>
    </w:p>
    <w:p w14:paraId="26A7430A">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66.发挥教育科技人才一体推进的统领作用研究</w:t>
      </w:r>
    </w:p>
    <w:p w14:paraId="0427A612">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67.健全人才分类评价体系和考核机制研究</w:t>
      </w:r>
    </w:p>
    <w:p w14:paraId="3DE1A63D">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68.持续优化人才创新创业生态研究</w:t>
      </w:r>
    </w:p>
    <w:p w14:paraId="115A1733">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69.着力完善中国特色公务员制度体系研究</w:t>
      </w:r>
    </w:p>
    <w:p w14:paraId="72D8475E">
      <w:pPr>
        <w:pStyle w:val="5"/>
        <w:widowControl w:val="0"/>
        <w:shd w:val="clear" w:color="auto" w:fill="FFFFFF"/>
        <w:adjustRightInd w:val="0"/>
        <w:snapToGrid w:val="0"/>
        <w:spacing w:before="0" w:beforeAutospacing="0" w:after="0" w:afterAutospacing="0" w:line="560" w:lineRule="exact"/>
        <w:ind w:firstLine="555"/>
        <w:jc w:val="both"/>
        <w:rPr>
          <w:rFonts w:ascii="Times New Roman" w:hAnsi="Times New Roman" w:eastAsia="仿宋_GB2312" w:cs="Tahoma"/>
          <w:color w:val="000000"/>
          <w:sz w:val="32"/>
          <w:szCs w:val="32"/>
        </w:rPr>
      </w:pPr>
      <w:r>
        <w:rPr>
          <w:rFonts w:hint="eastAsia" w:ascii="Times New Roman" w:hAnsi="Times New Roman" w:eastAsia="仿宋_GB2312" w:cs="Tahoma"/>
          <w:color w:val="000000"/>
          <w:sz w:val="32"/>
          <w:szCs w:val="32"/>
        </w:rPr>
        <w:t>70.用心用情做好老干部工作研究</w:t>
      </w:r>
    </w:p>
    <w:sectPr>
      <w:headerReference r:id="rId3" w:type="default"/>
      <w:footerReference r:id="rId4" w:type="default"/>
      <w:pgSz w:w="11906" w:h="16838"/>
      <w:pgMar w:top="1531" w:right="1531" w:bottom="1418"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ourier New">
    <w:panose1 w:val="02070309020205020404"/>
    <w:charset w:val="00"/>
    <w:family w:val="modern"/>
    <w:pitch w:val="default"/>
    <w:sig w:usb0="E0002E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8F585">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BD9BF2">
                          <w:pPr>
                            <w:pStyle w:val="3"/>
                            <w:rPr>
                              <w:rFonts w:cstheme="minorEastAsia"/>
                              <w:sz w:val="28"/>
                              <w:szCs w:val="28"/>
                            </w:rPr>
                          </w:pPr>
                          <w:r>
                            <w:rPr>
                              <w:rFonts w:hint="eastAsia" w:cstheme="minorEastAsia"/>
                              <w:sz w:val="28"/>
                              <w:szCs w:val="28"/>
                            </w:rPr>
                            <w:fldChar w:fldCharType="begin"/>
                          </w:r>
                          <w:r>
                            <w:rPr>
                              <w:rFonts w:hint="eastAsia" w:eastAsiaTheme="minorEastAsia" w:cstheme="minorEastAsia"/>
                              <w:sz w:val="28"/>
                              <w:szCs w:val="28"/>
                            </w:rPr>
                            <w:instrText xml:space="preserve"> PAGE  \* MERGEFORMAT </w:instrText>
                          </w:r>
                          <w:r>
                            <w:rPr>
                              <w:rFonts w:hint="eastAsia" w:cstheme="minorEastAsia"/>
                              <w:sz w:val="28"/>
                              <w:szCs w:val="28"/>
                            </w:rPr>
                            <w:fldChar w:fldCharType="separate"/>
                          </w:r>
                          <w:r>
                            <w:rPr>
                              <w:rFonts w:cstheme="minorEastAsia"/>
                              <w:sz w:val="28"/>
                              <w:szCs w:val="28"/>
                            </w:rPr>
                            <w:t>- 1 -</w:t>
                          </w:r>
                          <w:r>
                            <w:rPr>
                              <w:rFonts w:hint="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DBD9BF2">
                    <w:pPr>
                      <w:pStyle w:val="3"/>
                      <w:rPr>
                        <w:rFonts w:cstheme="minorEastAsia"/>
                        <w:sz w:val="28"/>
                        <w:szCs w:val="28"/>
                      </w:rPr>
                    </w:pPr>
                    <w:r>
                      <w:rPr>
                        <w:rFonts w:hint="eastAsia" w:cstheme="minorEastAsia"/>
                        <w:sz w:val="28"/>
                        <w:szCs w:val="28"/>
                      </w:rPr>
                      <w:fldChar w:fldCharType="begin"/>
                    </w:r>
                    <w:r>
                      <w:rPr>
                        <w:rFonts w:hint="eastAsia" w:eastAsiaTheme="minorEastAsia" w:cstheme="minorEastAsia"/>
                        <w:sz w:val="28"/>
                        <w:szCs w:val="28"/>
                      </w:rPr>
                      <w:instrText xml:space="preserve"> PAGE  \* MERGEFORMAT </w:instrText>
                    </w:r>
                    <w:r>
                      <w:rPr>
                        <w:rFonts w:hint="eastAsia" w:cstheme="minorEastAsia"/>
                        <w:sz w:val="28"/>
                        <w:szCs w:val="28"/>
                      </w:rPr>
                      <w:fldChar w:fldCharType="separate"/>
                    </w:r>
                    <w:r>
                      <w:rPr>
                        <w:rFonts w:cstheme="minorEastAsia"/>
                        <w:sz w:val="28"/>
                        <w:szCs w:val="28"/>
                      </w:rPr>
                      <w:t>- 1 -</w:t>
                    </w:r>
                    <w:r>
                      <w:rPr>
                        <w:rFonts w:hint="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450CE7">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08F7"/>
    <w:rsid w:val="002843CD"/>
    <w:rsid w:val="002E0ADC"/>
    <w:rsid w:val="00463B71"/>
    <w:rsid w:val="004E1BC7"/>
    <w:rsid w:val="00500363"/>
    <w:rsid w:val="005E517A"/>
    <w:rsid w:val="005F4E9F"/>
    <w:rsid w:val="00821289"/>
    <w:rsid w:val="00962E73"/>
    <w:rsid w:val="00B22258"/>
    <w:rsid w:val="00B61822"/>
    <w:rsid w:val="00BD5143"/>
    <w:rsid w:val="00DC23A5"/>
    <w:rsid w:val="00DE08F7"/>
    <w:rsid w:val="306A75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Plain Text"/>
    <w:basedOn w:val="1"/>
    <w:link w:val="10"/>
    <w:qFormat/>
    <w:uiPriority w:val="0"/>
    <w:rPr>
      <w:rFonts w:ascii="宋体" w:hAnsi="Courier New" w:cs="Courier New"/>
      <w:szCs w:val="21"/>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8">
    <w:name w:val="页眉 字符"/>
    <w:basedOn w:val="7"/>
    <w:link w:val="4"/>
    <w:uiPriority w:val="99"/>
    <w:rPr>
      <w:sz w:val="18"/>
      <w:szCs w:val="18"/>
    </w:rPr>
  </w:style>
  <w:style w:type="character" w:customStyle="1" w:styleId="9">
    <w:name w:val="页脚 字符"/>
    <w:basedOn w:val="7"/>
    <w:link w:val="3"/>
    <w:qFormat/>
    <w:uiPriority w:val="99"/>
    <w:rPr>
      <w:sz w:val="18"/>
      <w:szCs w:val="18"/>
    </w:rPr>
  </w:style>
  <w:style w:type="character" w:customStyle="1" w:styleId="10">
    <w:name w:val="纯文本 字符"/>
    <w:basedOn w:val="7"/>
    <w:link w:val="2"/>
    <w:qFormat/>
    <w:uiPriority w:val="0"/>
    <w:rPr>
      <w:rFonts w:ascii="宋体" w:hAnsi="Courier New" w:eastAsia="宋体" w:cs="Courier New"/>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1722</Words>
  <Characters>1887</Characters>
  <Lines>14</Lines>
  <Paragraphs>3</Paragraphs>
  <TotalTime>11</TotalTime>
  <ScaleCrop>false</ScaleCrop>
  <LinksUpToDate>false</LinksUpToDate>
  <CharactersWithSpaces>1887</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2024-04-10T01:32:00Z</dcterms:created>
  <dc:creator>hexi</dc:creator>
  <cp:lastModifiedBy>zsm</cp:lastModifiedBy>
  <dcterms:modified xsi:type="dcterms:W3CDTF">2025-04-30T01:57:39Z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eyJoZGlkIjoiMzU5Yzc1MzJhYWVkMzFkNzk5ZTRkZmY0YzY1OTI1OTgiLCJ1c2VySWQiOiIxNjYyNzAwOTc3In0=</vt:lpwstr>
  </property>
  <property fmtid="{D5CDD505-2E9C-101B-9397-08002B2CF9AE}" pid="3" name="KSOProductBuildVer">
    <vt:lpwstr>2052-12.1.0.20784</vt:lpwstr>
  </property>
  <property fmtid="{D5CDD505-2E9C-101B-9397-08002B2CF9AE}" pid="4" name="ICV">
    <vt:lpwstr>05FD389DA84F4D0CBE4CC644530122E2_12</vt:lpwstr>
  </property>
</Properties>
</file>